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6DC57" w14:textId="6EC405B5" w:rsidR="00C576F7" w:rsidRDefault="00187C0F" w:rsidP="00144CA6">
      <w:pPr>
        <w:jc w:val="center"/>
        <w:rPr>
          <w:b/>
          <w:bCs/>
        </w:rPr>
      </w:pPr>
      <w:r>
        <w:rPr>
          <w:b/>
          <w:bCs/>
        </w:rPr>
        <w:t>Stead</w:t>
      </w:r>
      <w:r w:rsidR="00571643">
        <w:rPr>
          <w:b/>
          <w:bCs/>
        </w:rPr>
        <w:t xml:space="preserve"> </w:t>
      </w:r>
      <w:r w:rsidR="008763E9">
        <w:rPr>
          <w:b/>
          <w:bCs/>
        </w:rPr>
        <w:t>Elementary</w:t>
      </w:r>
      <w:r w:rsidR="00FF4DE7">
        <w:rPr>
          <w:b/>
          <w:bCs/>
        </w:rPr>
        <w:t xml:space="preserve"> </w:t>
      </w:r>
      <w:r w:rsidR="00220CF5" w:rsidRPr="00144CA6">
        <w:rPr>
          <w:b/>
          <w:bCs/>
        </w:rPr>
        <w:t>School</w:t>
      </w:r>
      <w:r w:rsidR="00144CA6">
        <w:rPr>
          <w:b/>
          <w:bCs/>
        </w:rPr>
        <w:t xml:space="preserve"> AB219 Corrective Action Plan (CAP)</w:t>
      </w:r>
    </w:p>
    <w:p w14:paraId="46CC1963" w14:textId="4F684C25" w:rsidR="00144CA6" w:rsidRPr="00144CA6" w:rsidRDefault="00144CA6" w:rsidP="00144CA6">
      <w:pPr>
        <w:jc w:val="center"/>
        <w:rPr>
          <w:b/>
          <w:bCs/>
        </w:rPr>
      </w:pPr>
      <w:r>
        <w:rPr>
          <w:b/>
          <w:bCs/>
        </w:rPr>
        <w:t>SY 2020-2021</w:t>
      </w:r>
    </w:p>
    <w:p w14:paraId="5E9A605A" w14:textId="636F5747" w:rsidR="00220CF5" w:rsidRDefault="00220CF5" w:rsidP="00571643">
      <w:pPr>
        <w:spacing w:after="120"/>
      </w:pPr>
    </w:p>
    <w:p w14:paraId="71E5C687" w14:textId="77777777" w:rsidR="00220CF5" w:rsidRDefault="00220CF5" w:rsidP="00187C0F">
      <w:pPr>
        <w:pStyle w:val="paragraph"/>
        <w:spacing w:before="0" w:beforeAutospacing="0" w:after="120" w:afterAutospacing="0"/>
        <w:textAlignment w:val="baseline"/>
        <w:rPr>
          <w:rFonts w:ascii="Calibri" w:hAnsi="Calibri" w:cs="Calibri"/>
          <w:sz w:val="22"/>
          <w:szCs w:val="22"/>
        </w:rPr>
      </w:pPr>
      <w:r>
        <w:rPr>
          <w:rStyle w:val="normaltextrun"/>
          <w:rFonts w:ascii="Calibri" w:hAnsi="Calibri" w:cs="Calibri"/>
          <w:b/>
          <w:bCs/>
          <w:sz w:val="22"/>
          <w:szCs w:val="22"/>
        </w:rPr>
        <w:t>Root Causes</w:t>
      </w:r>
      <w:r>
        <w:rPr>
          <w:rStyle w:val="eop"/>
          <w:rFonts w:ascii="Calibri" w:hAnsi="Calibri" w:cs="Calibri"/>
          <w:sz w:val="22"/>
          <w:szCs w:val="22"/>
        </w:rPr>
        <w:t> </w:t>
      </w:r>
    </w:p>
    <w:p w14:paraId="40BAF49A" w14:textId="77777777" w:rsidR="00187C0F" w:rsidRPr="00187C0F" w:rsidRDefault="00187C0F" w:rsidP="00187C0F">
      <w:pPr>
        <w:pStyle w:val="paragraph"/>
        <w:spacing w:before="0" w:beforeAutospacing="0" w:after="120" w:afterAutospacing="0"/>
        <w:textAlignment w:val="baseline"/>
        <w:rPr>
          <w:rStyle w:val="eop"/>
          <w:rFonts w:ascii="Calibri" w:hAnsi="Calibri" w:cs="Calibri"/>
          <w:sz w:val="22"/>
          <w:szCs w:val="22"/>
        </w:rPr>
      </w:pPr>
      <w:r w:rsidRPr="00187C0F">
        <w:rPr>
          <w:rStyle w:val="eop"/>
          <w:rFonts w:ascii="Calibri" w:hAnsi="Calibri" w:cs="Calibri"/>
          <w:sz w:val="22"/>
          <w:szCs w:val="22"/>
        </w:rPr>
        <w:t xml:space="preserve">The School Performance Plan is designed to analyze data that is relevant to all student achievement, including our EL students. Root causes were determined based on this data in order to drive school improvement and shrink the achievement gap for our special populations with special attention to AB 219 and the EL population. The data both observational and concrete conclude that root causes are: </w:t>
      </w:r>
    </w:p>
    <w:p w14:paraId="6D92F04C" w14:textId="77777777" w:rsidR="00187C0F" w:rsidRDefault="00187C0F" w:rsidP="00187C0F">
      <w:pPr>
        <w:pStyle w:val="paragraph"/>
        <w:numPr>
          <w:ilvl w:val="0"/>
          <w:numId w:val="36"/>
        </w:numPr>
        <w:spacing w:before="0" w:beforeAutospacing="0" w:after="120" w:afterAutospacing="0"/>
        <w:textAlignment w:val="baseline"/>
        <w:rPr>
          <w:rStyle w:val="eop"/>
          <w:rFonts w:ascii="Calibri" w:hAnsi="Calibri" w:cs="Calibri"/>
          <w:sz w:val="22"/>
          <w:szCs w:val="22"/>
        </w:rPr>
      </w:pPr>
      <w:r w:rsidRPr="00187C0F">
        <w:rPr>
          <w:rStyle w:val="eop"/>
          <w:rFonts w:ascii="Calibri" w:hAnsi="Calibri" w:cs="Calibri"/>
          <w:sz w:val="22"/>
          <w:szCs w:val="22"/>
        </w:rPr>
        <w:t xml:space="preserve">Teachers’ need of knowledge, understanding, and skill to consistently implement high-yield English language development strategies that research has shown will assist ELs in acquiring the language necessary to access the content in all subject areas </w:t>
      </w:r>
    </w:p>
    <w:p w14:paraId="4A14145D" w14:textId="77777777" w:rsidR="00187C0F" w:rsidRDefault="00187C0F" w:rsidP="00187C0F">
      <w:pPr>
        <w:pStyle w:val="paragraph"/>
        <w:numPr>
          <w:ilvl w:val="0"/>
          <w:numId w:val="36"/>
        </w:numPr>
        <w:spacing w:before="0" w:beforeAutospacing="0" w:after="120" w:afterAutospacing="0"/>
        <w:textAlignment w:val="baseline"/>
        <w:rPr>
          <w:rStyle w:val="eop"/>
          <w:rFonts w:ascii="Calibri" w:hAnsi="Calibri" w:cs="Calibri"/>
          <w:sz w:val="22"/>
          <w:szCs w:val="22"/>
        </w:rPr>
      </w:pPr>
      <w:r w:rsidRPr="00187C0F">
        <w:rPr>
          <w:rStyle w:val="eop"/>
          <w:rFonts w:ascii="Calibri" w:hAnsi="Calibri" w:cs="Calibri"/>
          <w:sz w:val="22"/>
          <w:szCs w:val="22"/>
        </w:rPr>
        <w:t xml:space="preserve">Need of school wide focus on success criteria for students with a clear understanding and implementation that define student expectations and outcomes </w:t>
      </w:r>
    </w:p>
    <w:p w14:paraId="54AA5C32" w14:textId="77777777" w:rsidR="00187C0F" w:rsidRDefault="00187C0F" w:rsidP="00187C0F">
      <w:pPr>
        <w:pStyle w:val="paragraph"/>
        <w:numPr>
          <w:ilvl w:val="0"/>
          <w:numId w:val="36"/>
        </w:numPr>
        <w:spacing w:before="0" w:beforeAutospacing="0" w:after="120" w:afterAutospacing="0"/>
        <w:textAlignment w:val="baseline"/>
        <w:rPr>
          <w:rStyle w:val="eop"/>
          <w:rFonts w:ascii="Calibri" w:hAnsi="Calibri" w:cs="Calibri"/>
          <w:sz w:val="22"/>
          <w:szCs w:val="22"/>
        </w:rPr>
      </w:pPr>
      <w:r w:rsidRPr="00187C0F">
        <w:rPr>
          <w:rStyle w:val="eop"/>
          <w:rFonts w:ascii="Calibri" w:hAnsi="Calibri" w:cs="Calibri"/>
          <w:sz w:val="22"/>
          <w:szCs w:val="22"/>
        </w:rPr>
        <w:t xml:space="preserve">A need of scaffolds and supports that assist student in comprehending learning and then able to use those scaffolds/supports to transfer into other content learning </w:t>
      </w:r>
    </w:p>
    <w:p w14:paraId="10D311F4" w14:textId="77777777" w:rsidR="00187C0F" w:rsidRDefault="00187C0F" w:rsidP="00187C0F">
      <w:pPr>
        <w:pStyle w:val="paragraph"/>
        <w:numPr>
          <w:ilvl w:val="0"/>
          <w:numId w:val="36"/>
        </w:numPr>
        <w:spacing w:before="0" w:beforeAutospacing="0" w:after="120" w:afterAutospacing="0"/>
        <w:textAlignment w:val="baseline"/>
        <w:rPr>
          <w:rStyle w:val="eop"/>
          <w:rFonts w:ascii="Calibri" w:hAnsi="Calibri" w:cs="Calibri"/>
          <w:sz w:val="22"/>
          <w:szCs w:val="22"/>
        </w:rPr>
      </w:pPr>
      <w:r w:rsidRPr="00187C0F">
        <w:rPr>
          <w:rStyle w:val="eop"/>
          <w:rFonts w:ascii="Calibri" w:hAnsi="Calibri" w:cs="Calibri"/>
          <w:sz w:val="22"/>
          <w:szCs w:val="22"/>
        </w:rPr>
        <w:t xml:space="preserve">Need of Tier 1 instruction occurring in classrooms to provide equitable access to grade level material and standards </w:t>
      </w:r>
    </w:p>
    <w:p w14:paraId="6727E3D7" w14:textId="77777777" w:rsidR="00187C0F" w:rsidRDefault="00187C0F" w:rsidP="00187C0F">
      <w:pPr>
        <w:pStyle w:val="paragraph"/>
        <w:numPr>
          <w:ilvl w:val="0"/>
          <w:numId w:val="36"/>
        </w:numPr>
        <w:spacing w:before="0" w:beforeAutospacing="0" w:after="120" w:afterAutospacing="0"/>
        <w:textAlignment w:val="baseline"/>
        <w:rPr>
          <w:rStyle w:val="eop"/>
          <w:rFonts w:ascii="Calibri" w:hAnsi="Calibri" w:cs="Calibri"/>
          <w:sz w:val="22"/>
          <w:szCs w:val="22"/>
        </w:rPr>
      </w:pPr>
      <w:r w:rsidRPr="00187C0F">
        <w:rPr>
          <w:rStyle w:val="eop"/>
          <w:rFonts w:ascii="Calibri" w:hAnsi="Calibri" w:cs="Calibri"/>
          <w:sz w:val="22"/>
          <w:szCs w:val="22"/>
        </w:rPr>
        <w:t xml:space="preserve">Change in staff has created a needed to train deeper on EL strategies </w:t>
      </w:r>
    </w:p>
    <w:p w14:paraId="72689AE9" w14:textId="77777777" w:rsidR="00187C0F" w:rsidRDefault="00187C0F" w:rsidP="00187C0F">
      <w:pPr>
        <w:pStyle w:val="paragraph"/>
        <w:numPr>
          <w:ilvl w:val="0"/>
          <w:numId w:val="36"/>
        </w:numPr>
        <w:spacing w:before="0" w:beforeAutospacing="0" w:after="120" w:afterAutospacing="0"/>
        <w:textAlignment w:val="baseline"/>
        <w:rPr>
          <w:rStyle w:val="eop"/>
          <w:rFonts w:ascii="Calibri" w:hAnsi="Calibri" w:cs="Calibri"/>
          <w:sz w:val="22"/>
          <w:szCs w:val="22"/>
        </w:rPr>
      </w:pPr>
      <w:r w:rsidRPr="00187C0F">
        <w:rPr>
          <w:rStyle w:val="eop"/>
          <w:rFonts w:ascii="Calibri" w:hAnsi="Calibri" w:cs="Calibri"/>
          <w:sz w:val="22"/>
          <w:szCs w:val="22"/>
        </w:rPr>
        <w:t xml:space="preserve">Lack of consist and frequent formative common assessments aligned with standards to monitor student learning and provide immediate remediation/enrichment </w:t>
      </w:r>
    </w:p>
    <w:p w14:paraId="750CA315" w14:textId="4E717A2B" w:rsidR="00187C0F" w:rsidRPr="00187C0F" w:rsidRDefault="00187C0F" w:rsidP="00187C0F">
      <w:pPr>
        <w:pStyle w:val="paragraph"/>
        <w:numPr>
          <w:ilvl w:val="0"/>
          <w:numId w:val="36"/>
        </w:numPr>
        <w:spacing w:before="0" w:beforeAutospacing="0" w:after="120" w:afterAutospacing="0"/>
        <w:textAlignment w:val="baseline"/>
        <w:rPr>
          <w:rStyle w:val="eop"/>
          <w:rFonts w:ascii="Calibri" w:hAnsi="Calibri" w:cs="Calibri"/>
          <w:sz w:val="22"/>
          <w:szCs w:val="22"/>
        </w:rPr>
      </w:pPr>
      <w:r w:rsidRPr="00187C0F">
        <w:rPr>
          <w:rStyle w:val="eop"/>
          <w:rFonts w:ascii="Calibri" w:hAnsi="Calibri" w:cs="Calibri"/>
          <w:sz w:val="22"/>
          <w:szCs w:val="22"/>
        </w:rPr>
        <w:t xml:space="preserve">Need to increase co-teaching/co-planning in classrooms to create more inclusive classrooms </w:t>
      </w:r>
    </w:p>
    <w:p w14:paraId="3968A88C" w14:textId="320BD967" w:rsidR="00832CE0" w:rsidRPr="00075505" w:rsidRDefault="00187C0F" w:rsidP="00187C0F">
      <w:pPr>
        <w:pStyle w:val="paragraph"/>
        <w:spacing w:before="0" w:beforeAutospacing="0" w:after="120" w:afterAutospacing="0"/>
        <w:textAlignment w:val="baseline"/>
        <w:rPr>
          <w:rStyle w:val="eop"/>
          <w:rFonts w:ascii="Calibri" w:hAnsi="Calibri" w:cs="Calibri"/>
          <w:sz w:val="22"/>
          <w:szCs w:val="22"/>
        </w:rPr>
      </w:pPr>
      <w:r w:rsidRPr="00187C0F">
        <w:rPr>
          <w:rStyle w:val="eop"/>
          <w:rFonts w:ascii="Calibri" w:hAnsi="Calibri" w:cs="Calibri"/>
          <w:sz w:val="22"/>
          <w:szCs w:val="22"/>
        </w:rPr>
        <w:t xml:space="preserve">Please refer to Priority Goal 1, Priority Goal 2, and Priority Goal 3 (when applicable) in the School Performance Plan for additional root causes that impact learning and achievement. </w:t>
      </w:r>
    </w:p>
    <w:p w14:paraId="26495170" w14:textId="77777777" w:rsidR="009A42D6" w:rsidRDefault="00144CA6" w:rsidP="00E45BF5">
      <w:pPr>
        <w:pStyle w:val="paragraph"/>
        <w:spacing w:before="0" w:beforeAutospacing="0" w:after="120" w:afterAutospacing="0"/>
        <w:textAlignment w:val="baseline"/>
        <w:rPr>
          <w:rFonts w:ascii="Calibri" w:hAnsi="Calibri" w:cs="Calibri"/>
          <w:sz w:val="22"/>
          <w:szCs w:val="22"/>
        </w:rPr>
      </w:pPr>
      <w:r>
        <w:rPr>
          <w:rStyle w:val="normaltextrun"/>
          <w:rFonts w:ascii="Calibri" w:hAnsi="Calibri" w:cs="Calibri"/>
          <w:b/>
          <w:bCs/>
          <w:sz w:val="22"/>
          <w:szCs w:val="22"/>
        </w:rPr>
        <w:t>Action Steps</w:t>
      </w:r>
    </w:p>
    <w:p w14:paraId="1021FCD7" w14:textId="4F1A5C32" w:rsidR="0048555C" w:rsidRDefault="0048555C" w:rsidP="00E45BF5">
      <w:pPr>
        <w:pStyle w:val="paragraph"/>
        <w:numPr>
          <w:ilvl w:val="0"/>
          <w:numId w:val="27"/>
        </w:numPr>
        <w:spacing w:before="0" w:beforeAutospacing="0" w:after="120" w:afterAutospacing="0"/>
        <w:textAlignment w:val="baseline"/>
        <w:rPr>
          <w:rFonts w:ascii="Calibri" w:hAnsi="Calibri" w:cs="Calibri"/>
          <w:sz w:val="22"/>
          <w:szCs w:val="22"/>
        </w:rPr>
      </w:pPr>
      <w:r>
        <w:rPr>
          <w:rStyle w:val="normaltextrun"/>
          <w:rFonts w:ascii="Calibri" w:hAnsi="Calibri" w:cs="Calibri"/>
          <w:sz w:val="22"/>
          <w:szCs w:val="22"/>
        </w:rPr>
        <w:t>School wide focus on culturally responsive teaching, having high expectations for ELs, as well as scaffolds and structures in place in classrooms for ELs to meet those expectations.</w:t>
      </w:r>
      <w:r>
        <w:rPr>
          <w:rStyle w:val="eop"/>
          <w:rFonts w:ascii="Calibri" w:hAnsi="Calibri" w:cs="Calibri"/>
          <w:sz w:val="22"/>
          <w:szCs w:val="22"/>
        </w:rPr>
        <w:t> </w:t>
      </w:r>
    </w:p>
    <w:p w14:paraId="376DA2B3" w14:textId="171FC38C" w:rsidR="0048555C" w:rsidRDefault="0048555C" w:rsidP="00E45BF5">
      <w:pPr>
        <w:pStyle w:val="paragraph"/>
        <w:numPr>
          <w:ilvl w:val="0"/>
          <w:numId w:val="27"/>
        </w:numPr>
        <w:spacing w:before="0" w:beforeAutospacing="0" w:after="120" w:afterAutospacing="0"/>
        <w:textAlignment w:val="baseline"/>
        <w:rPr>
          <w:rFonts w:ascii="Calibri" w:hAnsi="Calibri" w:cs="Calibri"/>
          <w:sz w:val="22"/>
          <w:szCs w:val="22"/>
        </w:rPr>
      </w:pPr>
      <w:r w:rsidRPr="0048555C">
        <w:rPr>
          <w:rStyle w:val="normaltextrun"/>
          <w:rFonts w:ascii="Calibri" w:hAnsi="Calibri" w:cs="Calibri"/>
          <w:sz w:val="22"/>
          <w:szCs w:val="22"/>
        </w:rPr>
        <w:t>School wide focus on culturally responsive teaching, having high expectations for ELs, as well as scaffolds and structures in place in classrooms for ELs to meet those expectations.</w:t>
      </w:r>
      <w:r w:rsidRPr="0048555C">
        <w:rPr>
          <w:rStyle w:val="eop"/>
          <w:rFonts w:ascii="Calibri" w:hAnsi="Calibri" w:cs="Calibri"/>
          <w:sz w:val="22"/>
          <w:szCs w:val="22"/>
        </w:rPr>
        <w:t> </w:t>
      </w:r>
    </w:p>
    <w:p w14:paraId="60225D28" w14:textId="77777777" w:rsidR="0048555C" w:rsidRDefault="0048555C" w:rsidP="00E45BF5">
      <w:pPr>
        <w:pStyle w:val="paragraph"/>
        <w:numPr>
          <w:ilvl w:val="0"/>
          <w:numId w:val="27"/>
        </w:numPr>
        <w:spacing w:before="0" w:beforeAutospacing="0" w:after="120" w:afterAutospacing="0"/>
        <w:textAlignment w:val="baseline"/>
        <w:rPr>
          <w:rFonts w:ascii="Calibri" w:hAnsi="Calibri" w:cs="Calibri"/>
          <w:sz w:val="22"/>
          <w:szCs w:val="22"/>
        </w:rPr>
      </w:pPr>
      <w:r w:rsidRPr="0048555C">
        <w:rPr>
          <w:rStyle w:val="normaltextrun"/>
          <w:rFonts w:ascii="Calibri" w:hAnsi="Calibri" w:cs="Calibri"/>
          <w:sz w:val="22"/>
          <w:szCs w:val="22"/>
        </w:rPr>
        <w:t>EL teachers with support from Dept. of ELD </w:t>
      </w:r>
      <w:r w:rsidRPr="0048555C">
        <w:rPr>
          <w:rStyle w:val="eop"/>
          <w:rFonts w:ascii="Calibri" w:hAnsi="Calibri" w:cs="Calibri"/>
          <w:sz w:val="22"/>
          <w:szCs w:val="22"/>
        </w:rPr>
        <w:t> </w:t>
      </w:r>
    </w:p>
    <w:p w14:paraId="11B628A1" w14:textId="77777777" w:rsidR="0048555C" w:rsidRDefault="0048555C" w:rsidP="00E45BF5">
      <w:pPr>
        <w:pStyle w:val="paragraph"/>
        <w:numPr>
          <w:ilvl w:val="1"/>
          <w:numId w:val="27"/>
        </w:numPr>
        <w:spacing w:before="0" w:beforeAutospacing="0" w:after="120" w:afterAutospacing="0"/>
        <w:textAlignment w:val="baseline"/>
        <w:rPr>
          <w:rFonts w:ascii="Calibri" w:hAnsi="Calibri" w:cs="Calibri"/>
          <w:sz w:val="22"/>
          <w:szCs w:val="22"/>
        </w:rPr>
      </w:pPr>
      <w:r w:rsidRPr="0048555C">
        <w:rPr>
          <w:rStyle w:val="normaltextrun"/>
          <w:rFonts w:ascii="Calibri" w:hAnsi="Calibri" w:cs="Calibri"/>
          <w:sz w:val="22"/>
          <w:szCs w:val="22"/>
        </w:rPr>
        <w:t xml:space="preserve">Build all teacher capacity through professional learning opportunities that enhance teacher understanding of language development through </w:t>
      </w:r>
      <w:proofErr w:type="spellStart"/>
      <w:r w:rsidRPr="0048555C">
        <w:rPr>
          <w:rStyle w:val="normaltextrun"/>
          <w:rFonts w:ascii="Calibri" w:hAnsi="Calibri" w:cs="Calibri"/>
          <w:sz w:val="22"/>
          <w:szCs w:val="22"/>
        </w:rPr>
        <w:t>WiDA</w:t>
      </w:r>
      <w:proofErr w:type="spellEnd"/>
      <w:r w:rsidRPr="0048555C">
        <w:rPr>
          <w:rStyle w:val="normaltextrun"/>
          <w:rFonts w:ascii="Calibri" w:hAnsi="Calibri" w:cs="Calibri"/>
          <w:sz w:val="22"/>
          <w:szCs w:val="22"/>
        </w:rPr>
        <w:t xml:space="preserve"> framework, GLAD or SIOP training.</w:t>
      </w:r>
      <w:r w:rsidRPr="0048555C">
        <w:rPr>
          <w:rStyle w:val="eop"/>
          <w:rFonts w:ascii="Calibri" w:hAnsi="Calibri" w:cs="Calibri"/>
          <w:sz w:val="22"/>
          <w:szCs w:val="22"/>
        </w:rPr>
        <w:t> </w:t>
      </w:r>
    </w:p>
    <w:p w14:paraId="6ED0490E" w14:textId="77777777" w:rsidR="0048555C" w:rsidRDefault="0048555C" w:rsidP="00E45BF5">
      <w:pPr>
        <w:pStyle w:val="paragraph"/>
        <w:numPr>
          <w:ilvl w:val="1"/>
          <w:numId w:val="27"/>
        </w:numPr>
        <w:spacing w:before="0" w:beforeAutospacing="0" w:after="120" w:afterAutospacing="0"/>
        <w:textAlignment w:val="baseline"/>
        <w:rPr>
          <w:rFonts w:ascii="Calibri" w:hAnsi="Calibri" w:cs="Calibri"/>
          <w:sz w:val="22"/>
          <w:szCs w:val="22"/>
        </w:rPr>
      </w:pPr>
      <w:r w:rsidRPr="0048555C">
        <w:rPr>
          <w:rStyle w:val="normaltextrun"/>
          <w:rFonts w:ascii="Calibri" w:hAnsi="Calibri" w:cs="Calibri"/>
          <w:sz w:val="22"/>
          <w:szCs w:val="22"/>
        </w:rPr>
        <w:t>Appropriately provide purposeful planning for language in content subjects and scaffold using language rich strategies to provide ELs with access to content standards and grade level materials.</w:t>
      </w:r>
      <w:r w:rsidRPr="0048555C">
        <w:rPr>
          <w:rStyle w:val="eop"/>
          <w:rFonts w:ascii="Calibri" w:hAnsi="Calibri" w:cs="Calibri"/>
          <w:sz w:val="22"/>
          <w:szCs w:val="22"/>
        </w:rPr>
        <w:t> </w:t>
      </w:r>
    </w:p>
    <w:p w14:paraId="38D74EDC" w14:textId="77777777" w:rsidR="0048555C" w:rsidRDefault="0048555C" w:rsidP="00E45BF5">
      <w:pPr>
        <w:pStyle w:val="paragraph"/>
        <w:numPr>
          <w:ilvl w:val="1"/>
          <w:numId w:val="27"/>
        </w:numPr>
        <w:spacing w:before="0" w:beforeAutospacing="0" w:after="120" w:afterAutospacing="0"/>
        <w:textAlignment w:val="baseline"/>
        <w:rPr>
          <w:rFonts w:ascii="Calibri" w:hAnsi="Calibri" w:cs="Calibri"/>
          <w:sz w:val="22"/>
          <w:szCs w:val="22"/>
        </w:rPr>
      </w:pPr>
      <w:r w:rsidRPr="0048555C">
        <w:rPr>
          <w:rStyle w:val="normaltextrun"/>
          <w:rFonts w:ascii="Calibri" w:hAnsi="Calibri" w:cs="Calibri"/>
          <w:sz w:val="22"/>
          <w:szCs w:val="22"/>
        </w:rPr>
        <w:t>Build teacher capacity for language development during Professional Learning Communities that allow for analysis of data and planning for language opportunities in content classrooms </w:t>
      </w:r>
      <w:r w:rsidRPr="0048555C">
        <w:rPr>
          <w:rStyle w:val="eop"/>
          <w:rFonts w:ascii="Calibri" w:hAnsi="Calibri" w:cs="Calibri"/>
          <w:sz w:val="22"/>
          <w:szCs w:val="22"/>
        </w:rPr>
        <w:t> </w:t>
      </w:r>
    </w:p>
    <w:p w14:paraId="672D2B2E" w14:textId="77777777" w:rsidR="0048555C" w:rsidRDefault="0048555C" w:rsidP="00E45BF5">
      <w:pPr>
        <w:pStyle w:val="paragraph"/>
        <w:numPr>
          <w:ilvl w:val="1"/>
          <w:numId w:val="27"/>
        </w:numPr>
        <w:spacing w:before="0" w:beforeAutospacing="0" w:after="120" w:afterAutospacing="0"/>
        <w:textAlignment w:val="baseline"/>
        <w:rPr>
          <w:rFonts w:ascii="Calibri" w:hAnsi="Calibri" w:cs="Calibri"/>
          <w:sz w:val="22"/>
          <w:szCs w:val="22"/>
        </w:rPr>
      </w:pPr>
      <w:r>
        <w:rPr>
          <w:rFonts w:ascii="Calibri" w:hAnsi="Calibri" w:cs="Calibri"/>
          <w:sz w:val="22"/>
          <w:szCs w:val="22"/>
        </w:rPr>
        <w:lastRenderedPageBreak/>
        <w:t>U</w:t>
      </w:r>
      <w:r w:rsidRPr="0048555C">
        <w:rPr>
          <w:rStyle w:val="normaltextrun"/>
          <w:rFonts w:ascii="Calibri" w:hAnsi="Calibri" w:cs="Calibri"/>
          <w:sz w:val="22"/>
          <w:szCs w:val="22"/>
        </w:rPr>
        <w:t>se </w:t>
      </w:r>
      <w:proofErr w:type="spellStart"/>
      <w:r w:rsidRPr="0048555C">
        <w:rPr>
          <w:rStyle w:val="normaltextrun"/>
          <w:rFonts w:ascii="Calibri" w:hAnsi="Calibri" w:cs="Calibri"/>
          <w:sz w:val="22"/>
          <w:szCs w:val="22"/>
        </w:rPr>
        <w:t>ELLevation</w:t>
      </w:r>
      <w:proofErr w:type="spellEnd"/>
      <w:r w:rsidRPr="0048555C">
        <w:rPr>
          <w:rStyle w:val="normaltextrun"/>
          <w:rFonts w:ascii="Calibri" w:hAnsi="Calibri" w:cs="Calibri"/>
          <w:sz w:val="22"/>
          <w:szCs w:val="22"/>
        </w:rPr>
        <w:t> platform for teachers to plan for language development in content subjects. </w:t>
      </w:r>
      <w:r w:rsidRPr="0048555C">
        <w:rPr>
          <w:rStyle w:val="eop"/>
          <w:rFonts w:ascii="Calibri" w:hAnsi="Calibri" w:cs="Calibri"/>
          <w:sz w:val="22"/>
          <w:szCs w:val="22"/>
        </w:rPr>
        <w:t> </w:t>
      </w:r>
    </w:p>
    <w:p w14:paraId="13E2AFAB" w14:textId="77777777" w:rsidR="0048555C" w:rsidRDefault="0048555C" w:rsidP="00E45BF5">
      <w:pPr>
        <w:pStyle w:val="paragraph"/>
        <w:numPr>
          <w:ilvl w:val="1"/>
          <w:numId w:val="27"/>
        </w:numPr>
        <w:spacing w:before="0" w:beforeAutospacing="0" w:after="120" w:afterAutospacing="0"/>
        <w:textAlignment w:val="baseline"/>
        <w:rPr>
          <w:rFonts w:ascii="Calibri" w:hAnsi="Calibri" w:cs="Calibri"/>
          <w:sz w:val="22"/>
          <w:szCs w:val="22"/>
        </w:rPr>
      </w:pPr>
      <w:r w:rsidRPr="0048555C">
        <w:rPr>
          <w:rStyle w:val="normaltextrun"/>
          <w:rFonts w:ascii="Calibri" w:hAnsi="Calibri" w:cs="Calibri"/>
          <w:sz w:val="22"/>
          <w:szCs w:val="22"/>
        </w:rPr>
        <w:t>Appropriately use EL teachers to support Tier 1 instruction through lens of language</w:t>
      </w:r>
      <w:r w:rsidRPr="0048555C">
        <w:rPr>
          <w:rStyle w:val="eop"/>
          <w:rFonts w:ascii="Calibri" w:hAnsi="Calibri" w:cs="Calibri"/>
          <w:sz w:val="22"/>
          <w:szCs w:val="22"/>
        </w:rPr>
        <w:t> </w:t>
      </w:r>
    </w:p>
    <w:p w14:paraId="054DF2DF" w14:textId="4AED7D09" w:rsidR="0048555C" w:rsidRPr="0048555C" w:rsidRDefault="0048555C" w:rsidP="00E45BF5">
      <w:pPr>
        <w:pStyle w:val="paragraph"/>
        <w:numPr>
          <w:ilvl w:val="1"/>
          <w:numId w:val="27"/>
        </w:numPr>
        <w:spacing w:before="0" w:beforeAutospacing="0" w:after="120" w:afterAutospacing="0"/>
        <w:textAlignment w:val="baseline"/>
        <w:rPr>
          <w:rFonts w:ascii="Calibri" w:hAnsi="Calibri" w:cs="Calibri"/>
          <w:sz w:val="22"/>
          <w:szCs w:val="22"/>
        </w:rPr>
      </w:pPr>
      <w:r w:rsidRPr="0048555C">
        <w:rPr>
          <w:rStyle w:val="normaltextrun"/>
          <w:rFonts w:ascii="Calibri" w:hAnsi="Calibri" w:cs="Calibri"/>
          <w:sz w:val="22"/>
          <w:szCs w:val="22"/>
        </w:rPr>
        <w:t>Language is not an intervention. EL teachers should be supporting ELs in Tier 1 instruction through whole group or small group instruction. Any pull out of students should be for Newcomers to accelerate language or provide explicit language instruction that supports Tier 1 content instruction.</w:t>
      </w:r>
      <w:r w:rsidRPr="0048555C">
        <w:rPr>
          <w:rStyle w:val="eop"/>
          <w:rFonts w:ascii="Calibri" w:hAnsi="Calibri" w:cs="Calibri"/>
          <w:sz w:val="22"/>
          <w:szCs w:val="22"/>
        </w:rPr>
        <w:t> </w:t>
      </w:r>
    </w:p>
    <w:p w14:paraId="6EE85C0B" w14:textId="77777777" w:rsidR="00144CA6" w:rsidRPr="00144CA6" w:rsidRDefault="00144CA6" w:rsidP="00144CA6">
      <w:pPr>
        <w:ind w:left="360"/>
        <w:textAlignment w:val="baseline"/>
        <w:rPr>
          <w:rFonts w:ascii="Calibri" w:eastAsia="Times New Roman" w:hAnsi="Calibri" w:cs="Calibri"/>
          <w:b/>
          <w:bCs/>
          <w:sz w:val="13"/>
          <w:szCs w:val="13"/>
        </w:rPr>
      </w:pPr>
    </w:p>
    <w:p w14:paraId="3066D1B8" w14:textId="72514010" w:rsidR="00144CA6" w:rsidRPr="00144CA6" w:rsidRDefault="00144CA6" w:rsidP="009A42D6">
      <w:pPr>
        <w:spacing w:after="120"/>
        <w:textAlignment w:val="baseline"/>
        <w:rPr>
          <w:rFonts w:ascii="Segoe UI" w:eastAsia="Times New Roman" w:hAnsi="Segoe UI" w:cs="Segoe UI"/>
          <w:sz w:val="18"/>
          <w:szCs w:val="18"/>
        </w:rPr>
      </w:pPr>
      <w:r w:rsidRPr="00144CA6">
        <w:rPr>
          <w:rFonts w:ascii="Calibri" w:eastAsia="Times New Roman" w:hAnsi="Calibri" w:cs="Calibri"/>
          <w:b/>
          <w:bCs/>
          <w:sz w:val="22"/>
          <w:szCs w:val="22"/>
        </w:rPr>
        <w:t>Attainable quantitative goals</w:t>
      </w:r>
      <w:r>
        <w:rPr>
          <w:rFonts w:ascii="Calibri" w:eastAsia="Times New Roman" w:hAnsi="Calibri" w:cs="Calibri"/>
          <w:b/>
          <w:bCs/>
          <w:sz w:val="22"/>
          <w:szCs w:val="22"/>
        </w:rPr>
        <w:t xml:space="preserve">: </w:t>
      </w:r>
      <w:r w:rsidRPr="00144CA6">
        <w:rPr>
          <w:rFonts w:ascii="Calibri" w:eastAsia="Times New Roman" w:hAnsi="Calibri" w:cs="Calibri"/>
          <w:b/>
          <w:bCs/>
          <w:sz w:val="22"/>
          <w:szCs w:val="22"/>
        </w:rPr>
        <w:t>In order to exit EL Corrective Action, we will meet all (Low Risk) or multiple measures meeting the standard of Medium Risk as follows:</w:t>
      </w:r>
      <w:r w:rsidRPr="00144CA6">
        <w:rPr>
          <w:rFonts w:ascii="Calibri" w:eastAsia="Times New Roman" w:hAnsi="Calibri" w:cs="Calibri"/>
          <w:sz w:val="22"/>
          <w:szCs w:val="22"/>
        </w:rPr>
        <w:t> </w:t>
      </w:r>
    </w:p>
    <w:p w14:paraId="5372F043" w14:textId="77777777" w:rsidR="009A42D6" w:rsidRPr="009A42D6" w:rsidRDefault="009A42D6" w:rsidP="009A42D6">
      <w:pPr>
        <w:pStyle w:val="ListParagraph"/>
        <w:numPr>
          <w:ilvl w:val="0"/>
          <w:numId w:val="12"/>
        </w:numPr>
        <w:spacing w:after="120"/>
        <w:contextualSpacing w:val="0"/>
        <w:textAlignment w:val="baseline"/>
        <w:rPr>
          <w:rFonts w:ascii="Segoe UI" w:eastAsia="Times New Roman" w:hAnsi="Segoe UI" w:cs="Segoe UI"/>
          <w:sz w:val="18"/>
          <w:szCs w:val="18"/>
        </w:rPr>
      </w:pPr>
      <w:r w:rsidRPr="009A42D6">
        <w:rPr>
          <w:rFonts w:ascii="Calibri" w:eastAsia="Times New Roman" w:hAnsi="Calibri" w:cs="Calibri"/>
          <w:b/>
          <w:bCs/>
          <w:sz w:val="22"/>
          <w:szCs w:val="22"/>
        </w:rPr>
        <w:t>NSPF Point Attribution (ACCESS AGP):</w:t>
      </w:r>
      <w:r w:rsidRPr="009A42D6">
        <w:rPr>
          <w:rFonts w:ascii="Calibri" w:eastAsia="Times New Roman" w:hAnsi="Calibri" w:cs="Calibri"/>
          <w:sz w:val="22"/>
          <w:szCs w:val="22"/>
        </w:rPr>
        <w:t>  4-7 pts. (Medium Risk) 8-10 pts. (Low Risk)  </w:t>
      </w:r>
    </w:p>
    <w:p w14:paraId="7B7814DA" w14:textId="77777777" w:rsidR="009A42D6" w:rsidRPr="009A42D6" w:rsidRDefault="009A42D6" w:rsidP="009A42D6">
      <w:pPr>
        <w:pStyle w:val="ListParagraph"/>
        <w:numPr>
          <w:ilvl w:val="0"/>
          <w:numId w:val="12"/>
        </w:numPr>
        <w:spacing w:after="120"/>
        <w:contextualSpacing w:val="0"/>
        <w:textAlignment w:val="baseline"/>
        <w:rPr>
          <w:rFonts w:ascii="Segoe UI" w:eastAsia="Times New Roman" w:hAnsi="Segoe UI" w:cs="Segoe UI"/>
          <w:sz w:val="18"/>
          <w:szCs w:val="18"/>
        </w:rPr>
      </w:pPr>
      <w:r w:rsidRPr="009A42D6">
        <w:rPr>
          <w:rFonts w:ascii="Calibri" w:eastAsia="Times New Roman" w:hAnsi="Calibri" w:cs="Calibri"/>
          <w:b/>
          <w:bCs/>
          <w:sz w:val="22"/>
          <w:szCs w:val="22"/>
        </w:rPr>
        <w:t>NSPF Point Attribution (SBAC-pooled proficiency):</w:t>
      </w:r>
      <w:r w:rsidRPr="009A42D6">
        <w:rPr>
          <w:rFonts w:ascii="Calibri" w:eastAsia="Times New Roman" w:hAnsi="Calibri" w:cs="Calibri"/>
          <w:sz w:val="22"/>
          <w:szCs w:val="22"/>
        </w:rPr>
        <w:t>  9-18 pts. (Medium Risk) 19-25 pts. (Low Risk) or school is not on the state list of schools in the lowest 30% of pooled academic performance. </w:t>
      </w:r>
    </w:p>
    <w:p w14:paraId="48C4D938" w14:textId="77777777" w:rsidR="009A42D6" w:rsidRPr="009A42D6" w:rsidRDefault="009A42D6" w:rsidP="009A42D6">
      <w:pPr>
        <w:pStyle w:val="ListParagraph"/>
        <w:numPr>
          <w:ilvl w:val="0"/>
          <w:numId w:val="12"/>
        </w:numPr>
        <w:spacing w:after="120"/>
        <w:contextualSpacing w:val="0"/>
        <w:textAlignment w:val="baseline"/>
        <w:rPr>
          <w:rFonts w:ascii="Segoe UI" w:eastAsia="Times New Roman" w:hAnsi="Segoe UI" w:cs="Segoe UI"/>
          <w:sz w:val="18"/>
          <w:szCs w:val="18"/>
        </w:rPr>
      </w:pPr>
      <w:r w:rsidRPr="009A42D6">
        <w:rPr>
          <w:rFonts w:ascii="Calibri" w:eastAsia="Times New Roman" w:hAnsi="Calibri" w:cs="Calibri"/>
          <w:b/>
          <w:bCs/>
          <w:sz w:val="22"/>
          <w:szCs w:val="22"/>
        </w:rPr>
        <w:t>SBAC ELA and Math:</w:t>
      </w:r>
      <w:r w:rsidRPr="009A42D6">
        <w:rPr>
          <w:rFonts w:ascii="Calibri" w:eastAsia="Times New Roman" w:hAnsi="Calibri" w:cs="Calibri"/>
          <w:sz w:val="22"/>
          <w:szCs w:val="22"/>
        </w:rPr>
        <w:t> expected state Measure of Interim Progress (MIP) for English learners or ACCESS AGP at or above the 50</w:t>
      </w:r>
      <w:r w:rsidRPr="009A42D6">
        <w:rPr>
          <w:rFonts w:ascii="Calibri" w:eastAsia="Times New Roman" w:hAnsi="Calibri" w:cs="Calibri"/>
          <w:sz w:val="17"/>
          <w:szCs w:val="17"/>
          <w:vertAlign w:val="superscript"/>
        </w:rPr>
        <w:t>th</w:t>
      </w:r>
      <w:r w:rsidRPr="009A42D6">
        <w:rPr>
          <w:rFonts w:ascii="Calibri" w:eastAsia="Times New Roman" w:hAnsi="Calibri" w:cs="Calibri"/>
          <w:sz w:val="22"/>
          <w:szCs w:val="22"/>
        </w:rPr>
        <w:t> quartile of performance for two (2) consecutive years or 50% EL ACCESS AGP for two (2) consecutive years. </w:t>
      </w:r>
    </w:p>
    <w:p w14:paraId="42CE1415" w14:textId="77777777" w:rsidR="009A42D6" w:rsidRPr="009A42D6" w:rsidRDefault="009A42D6" w:rsidP="009A42D6">
      <w:pPr>
        <w:pStyle w:val="ListParagraph"/>
        <w:numPr>
          <w:ilvl w:val="0"/>
          <w:numId w:val="12"/>
        </w:numPr>
        <w:spacing w:after="120"/>
        <w:contextualSpacing w:val="0"/>
        <w:textAlignment w:val="baseline"/>
        <w:rPr>
          <w:rFonts w:ascii="Segoe UI" w:eastAsia="Times New Roman" w:hAnsi="Segoe UI" w:cs="Segoe UI"/>
          <w:sz w:val="18"/>
          <w:szCs w:val="18"/>
        </w:rPr>
      </w:pPr>
      <w:r w:rsidRPr="009A42D6">
        <w:rPr>
          <w:rFonts w:ascii="Calibri" w:eastAsia="Times New Roman" w:hAnsi="Calibri" w:cs="Calibri"/>
          <w:b/>
          <w:bCs/>
          <w:sz w:val="22"/>
          <w:szCs w:val="22"/>
        </w:rPr>
        <w:t>SBAC ELA and Math:</w:t>
      </w:r>
      <w:r w:rsidRPr="009A42D6">
        <w:rPr>
          <w:rFonts w:ascii="Calibri" w:eastAsia="Times New Roman" w:hAnsi="Calibri" w:cs="Calibri"/>
          <w:sz w:val="22"/>
          <w:szCs w:val="22"/>
        </w:rPr>
        <w:t> Median Growth Percentile (MGP) </w:t>
      </w:r>
      <w:r w:rsidRPr="009A42D6">
        <w:rPr>
          <w:rFonts w:ascii="Calibri" w:eastAsia="Times New Roman" w:hAnsi="Calibri" w:cs="Calibri"/>
          <w:sz w:val="22"/>
          <w:szCs w:val="22"/>
          <w:u w:val="single"/>
        </w:rPr>
        <w:t>&gt; </w:t>
      </w:r>
      <w:r w:rsidRPr="009A42D6">
        <w:rPr>
          <w:rFonts w:ascii="Calibri" w:eastAsia="Times New Roman" w:hAnsi="Calibri" w:cs="Calibri"/>
          <w:sz w:val="22"/>
          <w:szCs w:val="22"/>
        </w:rPr>
        <w:t>36% </w:t>
      </w:r>
      <w:r w:rsidRPr="009A42D6">
        <w:rPr>
          <w:rFonts w:ascii="Calibri" w:eastAsia="Times New Roman" w:hAnsi="Calibri" w:cs="Calibri"/>
          <w:sz w:val="22"/>
          <w:szCs w:val="22"/>
          <w:u w:val="single"/>
        </w:rPr>
        <w:t>&lt;</w:t>
      </w:r>
      <w:r w:rsidRPr="009A42D6">
        <w:rPr>
          <w:rFonts w:ascii="Calibri" w:eastAsia="Times New Roman" w:hAnsi="Calibri" w:cs="Calibri"/>
          <w:sz w:val="22"/>
          <w:szCs w:val="22"/>
        </w:rPr>
        <w:t>64% (Medium Risk) or </w:t>
      </w:r>
      <w:r w:rsidRPr="009A42D6">
        <w:rPr>
          <w:rFonts w:ascii="Calibri" w:eastAsia="Times New Roman" w:hAnsi="Calibri" w:cs="Calibri"/>
          <w:sz w:val="22"/>
          <w:szCs w:val="22"/>
          <w:u w:val="single"/>
        </w:rPr>
        <w:t>&gt;</w:t>
      </w:r>
      <w:r w:rsidRPr="009A42D6">
        <w:rPr>
          <w:rFonts w:ascii="Calibri" w:eastAsia="Times New Roman" w:hAnsi="Calibri" w:cs="Calibri"/>
          <w:sz w:val="22"/>
          <w:szCs w:val="22"/>
        </w:rPr>
        <w:t>65% (Low Risk) </w:t>
      </w:r>
    </w:p>
    <w:p w14:paraId="76E54231" w14:textId="77777777" w:rsidR="009A42D6" w:rsidRPr="009A42D6" w:rsidRDefault="009A42D6" w:rsidP="009A42D6">
      <w:pPr>
        <w:pStyle w:val="ListParagraph"/>
        <w:numPr>
          <w:ilvl w:val="0"/>
          <w:numId w:val="12"/>
        </w:numPr>
        <w:spacing w:after="120"/>
        <w:contextualSpacing w:val="0"/>
        <w:textAlignment w:val="baseline"/>
        <w:rPr>
          <w:rFonts w:ascii="Segoe UI" w:eastAsia="Times New Roman" w:hAnsi="Segoe UI" w:cs="Segoe UI"/>
          <w:sz w:val="18"/>
          <w:szCs w:val="18"/>
        </w:rPr>
      </w:pPr>
      <w:r w:rsidRPr="009A42D6">
        <w:rPr>
          <w:rFonts w:ascii="Calibri" w:eastAsia="Times New Roman" w:hAnsi="Calibri" w:cs="Calibri"/>
          <w:b/>
          <w:bCs/>
          <w:sz w:val="22"/>
          <w:szCs w:val="22"/>
        </w:rPr>
        <w:t>NSPF Star Rating:</w:t>
      </w:r>
      <w:r w:rsidRPr="009A42D6">
        <w:rPr>
          <w:rFonts w:ascii="Calibri" w:eastAsia="Times New Roman" w:hAnsi="Calibri" w:cs="Calibri"/>
          <w:sz w:val="22"/>
          <w:szCs w:val="22"/>
        </w:rPr>
        <w:t> 2-star (Medium Risk) or 3-star and above (Low Risk) </w:t>
      </w:r>
    </w:p>
    <w:p w14:paraId="54294677" w14:textId="77777777" w:rsidR="009A42D6" w:rsidRPr="009A42D6" w:rsidRDefault="009A42D6" w:rsidP="009A42D6">
      <w:pPr>
        <w:textAlignment w:val="baseline"/>
        <w:rPr>
          <w:rFonts w:ascii="Segoe UI" w:eastAsia="Times New Roman" w:hAnsi="Segoe UI" w:cs="Segoe UI"/>
          <w:sz w:val="18"/>
          <w:szCs w:val="18"/>
        </w:rPr>
      </w:pPr>
      <w:r w:rsidRPr="009A42D6">
        <w:rPr>
          <w:rFonts w:ascii="Calibri" w:eastAsia="Times New Roman" w:hAnsi="Calibri" w:cs="Calibri"/>
          <w:sz w:val="22"/>
          <w:szCs w:val="22"/>
        </w:rPr>
        <w:t> </w:t>
      </w:r>
    </w:p>
    <w:p w14:paraId="41741EED" w14:textId="77777777" w:rsidR="00220CF5" w:rsidRDefault="00220CF5"/>
    <w:sectPr w:rsidR="00220CF5" w:rsidSect="00CF6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1E0D"/>
    <w:multiLevelType w:val="hybridMultilevel"/>
    <w:tmpl w:val="25A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B11DB"/>
    <w:multiLevelType w:val="multilevel"/>
    <w:tmpl w:val="5B2C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35545"/>
    <w:multiLevelType w:val="multilevel"/>
    <w:tmpl w:val="F5847E06"/>
    <w:lvl w:ilvl="0">
      <w:start w:val="1"/>
      <w:numFmt w:val="bullet"/>
      <w:lvlText w:val=""/>
      <w:lvlJc w:val="left"/>
      <w:pPr>
        <w:tabs>
          <w:tab w:val="num" w:pos="180"/>
        </w:tabs>
        <w:ind w:left="180" w:hanging="360"/>
      </w:pPr>
      <w:rPr>
        <w:rFonts w:ascii="Wingdings" w:hAnsi="Wingdings" w:hint="default"/>
        <w:sz w:val="20"/>
      </w:rPr>
    </w:lvl>
    <w:lvl w:ilvl="1" w:tentative="1">
      <w:start w:val="1"/>
      <w:numFmt w:val="bullet"/>
      <w:lvlText w:val=""/>
      <w:lvlJc w:val="left"/>
      <w:pPr>
        <w:tabs>
          <w:tab w:val="num" w:pos="900"/>
        </w:tabs>
        <w:ind w:left="900" w:hanging="360"/>
      </w:pPr>
      <w:rPr>
        <w:rFonts w:ascii="Wingdings" w:hAnsi="Wingdings"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3" w15:restartNumberingAfterBreak="0">
    <w:nsid w:val="12CD6335"/>
    <w:multiLevelType w:val="multilevel"/>
    <w:tmpl w:val="8DDCD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B31C8"/>
    <w:multiLevelType w:val="multilevel"/>
    <w:tmpl w:val="02FE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A18C3"/>
    <w:multiLevelType w:val="hybridMultilevel"/>
    <w:tmpl w:val="5BCE4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763F2"/>
    <w:multiLevelType w:val="hybridMultilevel"/>
    <w:tmpl w:val="3098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A13AA"/>
    <w:multiLevelType w:val="hybridMultilevel"/>
    <w:tmpl w:val="248A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5656A"/>
    <w:multiLevelType w:val="hybridMultilevel"/>
    <w:tmpl w:val="CFFE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C0ADA"/>
    <w:multiLevelType w:val="hybridMultilevel"/>
    <w:tmpl w:val="E0A8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212A7"/>
    <w:multiLevelType w:val="multilevel"/>
    <w:tmpl w:val="854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9575B0"/>
    <w:multiLevelType w:val="hybridMultilevel"/>
    <w:tmpl w:val="815E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C33A6"/>
    <w:multiLevelType w:val="hybridMultilevel"/>
    <w:tmpl w:val="57DA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224A1"/>
    <w:multiLevelType w:val="hybridMultilevel"/>
    <w:tmpl w:val="F6C4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45424"/>
    <w:multiLevelType w:val="hybridMultilevel"/>
    <w:tmpl w:val="74E6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00A00"/>
    <w:multiLevelType w:val="multilevel"/>
    <w:tmpl w:val="A9E4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C26D7D"/>
    <w:multiLevelType w:val="hybridMultilevel"/>
    <w:tmpl w:val="621E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40283"/>
    <w:multiLevelType w:val="hybridMultilevel"/>
    <w:tmpl w:val="2FC2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02B69"/>
    <w:multiLevelType w:val="hybridMultilevel"/>
    <w:tmpl w:val="1DE0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01E11"/>
    <w:multiLevelType w:val="multilevel"/>
    <w:tmpl w:val="5BF89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804936"/>
    <w:multiLevelType w:val="hybridMultilevel"/>
    <w:tmpl w:val="B07A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04561"/>
    <w:multiLevelType w:val="hybridMultilevel"/>
    <w:tmpl w:val="9C02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81B02"/>
    <w:multiLevelType w:val="hybridMultilevel"/>
    <w:tmpl w:val="A3D6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33459"/>
    <w:multiLevelType w:val="hybridMultilevel"/>
    <w:tmpl w:val="E640C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B34137"/>
    <w:multiLevelType w:val="hybridMultilevel"/>
    <w:tmpl w:val="1980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A5C45"/>
    <w:multiLevelType w:val="multilevel"/>
    <w:tmpl w:val="162AD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57690"/>
    <w:multiLevelType w:val="hybridMultilevel"/>
    <w:tmpl w:val="7DDCC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87E8C"/>
    <w:multiLevelType w:val="hybridMultilevel"/>
    <w:tmpl w:val="23CE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92617"/>
    <w:multiLevelType w:val="hybridMultilevel"/>
    <w:tmpl w:val="D27C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66268"/>
    <w:multiLevelType w:val="hybridMultilevel"/>
    <w:tmpl w:val="E138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72D00"/>
    <w:multiLevelType w:val="hybridMultilevel"/>
    <w:tmpl w:val="4C82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F789B"/>
    <w:multiLevelType w:val="hybridMultilevel"/>
    <w:tmpl w:val="5218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1520B"/>
    <w:multiLevelType w:val="hybridMultilevel"/>
    <w:tmpl w:val="880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A36E37"/>
    <w:multiLevelType w:val="multilevel"/>
    <w:tmpl w:val="E56C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F6262E"/>
    <w:multiLevelType w:val="multilevel"/>
    <w:tmpl w:val="B5343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D2B8A"/>
    <w:multiLevelType w:val="hybridMultilevel"/>
    <w:tmpl w:val="115C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33"/>
  </w:num>
  <w:num w:numId="4">
    <w:abstractNumId w:val="23"/>
  </w:num>
  <w:num w:numId="5">
    <w:abstractNumId w:val="27"/>
  </w:num>
  <w:num w:numId="6">
    <w:abstractNumId w:val="35"/>
  </w:num>
  <w:num w:numId="7">
    <w:abstractNumId w:val="19"/>
  </w:num>
  <w:num w:numId="8">
    <w:abstractNumId w:val="3"/>
  </w:num>
  <w:num w:numId="9">
    <w:abstractNumId w:val="10"/>
  </w:num>
  <w:num w:numId="10">
    <w:abstractNumId w:val="1"/>
  </w:num>
  <w:num w:numId="11">
    <w:abstractNumId w:val="26"/>
  </w:num>
  <w:num w:numId="12">
    <w:abstractNumId w:val="20"/>
  </w:num>
  <w:num w:numId="13">
    <w:abstractNumId w:val="9"/>
  </w:num>
  <w:num w:numId="14">
    <w:abstractNumId w:val="28"/>
  </w:num>
  <w:num w:numId="15">
    <w:abstractNumId w:val="17"/>
  </w:num>
  <w:num w:numId="16">
    <w:abstractNumId w:val="22"/>
  </w:num>
  <w:num w:numId="17">
    <w:abstractNumId w:val="32"/>
  </w:num>
  <w:num w:numId="18">
    <w:abstractNumId w:val="7"/>
  </w:num>
  <w:num w:numId="19">
    <w:abstractNumId w:val="8"/>
  </w:num>
  <w:num w:numId="20">
    <w:abstractNumId w:val="31"/>
  </w:num>
  <w:num w:numId="21">
    <w:abstractNumId w:val="18"/>
  </w:num>
  <w:num w:numId="22">
    <w:abstractNumId w:val="11"/>
  </w:num>
  <w:num w:numId="23">
    <w:abstractNumId w:val="6"/>
  </w:num>
  <w:num w:numId="24">
    <w:abstractNumId w:val="25"/>
  </w:num>
  <w:num w:numId="25">
    <w:abstractNumId w:val="15"/>
  </w:num>
  <w:num w:numId="26">
    <w:abstractNumId w:val="4"/>
  </w:num>
  <w:num w:numId="27">
    <w:abstractNumId w:val="5"/>
  </w:num>
  <w:num w:numId="28">
    <w:abstractNumId w:val="12"/>
  </w:num>
  <w:num w:numId="29">
    <w:abstractNumId w:val="24"/>
  </w:num>
  <w:num w:numId="30">
    <w:abstractNumId w:val="13"/>
  </w:num>
  <w:num w:numId="31">
    <w:abstractNumId w:val="29"/>
  </w:num>
  <w:num w:numId="32">
    <w:abstractNumId w:val="0"/>
  </w:num>
  <w:num w:numId="33">
    <w:abstractNumId w:val="14"/>
  </w:num>
  <w:num w:numId="34">
    <w:abstractNumId w:val="30"/>
  </w:num>
  <w:num w:numId="35">
    <w:abstractNumId w:val="2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F5"/>
    <w:rsid w:val="00075505"/>
    <w:rsid w:val="00144CA6"/>
    <w:rsid w:val="00187C0F"/>
    <w:rsid w:val="00220CF5"/>
    <w:rsid w:val="002A2C90"/>
    <w:rsid w:val="003262A2"/>
    <w:rsid w:val="00396591"/>
    <w:rsid w:val="004766B5"/>
    <w:rsid w:val="0048555C"/>
    <w:rsid w:val="004D721B"/>
    <w:rsid w:val="00571643"/>
    <w:rsid w:val="005A2F03"/>
    <w:rsid w:val="005B6982"/>
    <w:rsid w:val="00632BAC"/>
    <w:rsid w:val="0073726F"/>
    <w:rsid w:val="007F167F"/>
    <w:rsid w:val="00832CE0"/>
    <w:rsid w:val="008763E9"/>
    <w:rsid w:val="009A42D6"/>
    <w:rsid w:val="009C4C0C"/>
    <w:rsid w:val="009D23A5"/>
    <w:rsid w:val="00BE5FB6"/>
    <w:rsid w:val="00C4658C"/>
    <w:rsid w:val="00CB3A0A"/>
    <w:rsid w:val="00CF66C4"/>
    <w:rsid w:val="00DC07C3"/>
    <w:rsid w:val="00DC2D6E"/>
    <w:rsid w:val="00E45BF5"/>
    <w:rsid w:val="00EB2C28"/>
    <w:rsid w:val="00FF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D067"/>
  <w15:chartTrackingRefBased/>
  <w15:docId w15:val="{9EEC9E36-5703-6A48-AE3F-ABA456DC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0CF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20CF5"/>
  </w:style>
  <w:style w:type="character" w:customStyle="1" w:styleId="eop">
    <w:name w:val="eop"/>
    <w:basedOn w:val="DefaultParagraphFont"/>
    <w:rsid w:val="00220CF5"/>
  </w:style>
  <w:style w:type="paragraph" w:styleId="ListParagraph">
    <w:name w:val="List Paragraph"/>
    <w:basedOn w:val="Normal"/>
    <w:uiPriority w:val="34"/>
    <w:qFormat/>
    <w:rsid w:val="00144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3789">
      <w:bodyDiv w:val="1"/>
      <w:marLeft w:val="0"/>
      <w:marRight w:val="0"/>
      <w:marTop w:val="0"/>
      <w:marBottom w:val="0"/>
      <w:divBdr>
        <w:top w:val="none" w:sz="0" w:space="0" w:color="auto"/>
        <w:left w:val="none" w:sz="0" w:space="0" w:color="auto"/>
        <w:bottom w:val="none" w:sz="0" w:space="0" w:color="auto"/>
        <w:right w:val="none" w:sz="0" w:space="0" w:color="auto"/>
      </w:divBdr>
      <w:divsChild>
        <w:div w:id="49114958">
          <w:marLeft w:val="0"/>
          <w:marRight w:val="0"/>
          <w:marTop w:val="0"/>
          <w:marBottom w:val="0"/>
          <w:divBdr>
            <w:top w:val="none" w:sz="0" w:space="0" w:color="auto"/>
            <w:left w:val="none" w:sz="0" w:space="0" w:color="auto"/>
            <w:bottom w:val="none" w:sz="0" w:space="0" w:color="auto"/>
            <w:right w:val="none" w:sz="0" w:space="0" w:color="auto"/>
          </w:divBdr>
        </w:div>
        <w:div w:id="934284831">
          <w:marLeft w:val="0"/>
          <w:marRight w:val="0"/>
          <w:marTop w:val="0"/>
          <w:marBottom w:val="0"/>
          <w:divBdr>
            <w:top w:val="none" w:sz="0" w:space="0" w:color="auto"/>
            <w:left w:val="none" w:sz="0" w:space="0" w:color="auto"/>
            <w:bottom w:val="none" w:sz="0" w:space="0" w:color="auto"/>
            <w:right w:val="none" w:sz="0" w:space="0" w:color="auto"/>
          </w:divBdr>
        </w:div>
        <w:div w:id="1429152393">
          <w:marLeft w:val="0"/>
          <w:marRight w:val="0"/>
          <w:marTop w:val="0"/>
          <w:marBottom w:val="0"/>
          <w:divBdr>
            <w:top w:val="none" w:sz="0" w:space="0" w:color="auto"/>
            <w:left w:val="none" w:sz="0" w:space="0" w:color="auto"/>
            <w:bottom w:val="none" w:sz="0" w:space="0" w:color="auto"/>
            <w:right w:val="none" w:sz="0" w:space="0" w:color="auto"/>
          </w:divBdr>
        </w:div>
        <w:div w:id="2137404586">
          <w:marLeft w:val="0"/>
          <w:marRight w:val="0"/>
          <w:marTop w:val="0"/>
          <w:marBottom w:val="0"/>
          <w:divBdr>
            <w:top w:val="none" w:sz="0" w:space="0" w:color="auto"/>
            <w:left w:val="none" w:sz="0" w:space="0" w:color="auto"/>
            <w:bottom w:val="none" w:sz="0" w:space="0" w:color="auto"/>
            <w:right w:val="none" w:sz="0" w:space="0" w:color="auto"/>
          </w:divBdr>
        </w:div>
        <w:div w:id="2046900933">
          <w:marLeft w:val="0"/>
          <w:marRight w:val="0"/>
          <w:marTop w:val="0"/>
          <w:marBottom w:val="0"/>
          <w:divBdr>
            <w:top w:val="none" w:sz="0" w:space="0" w:color="auto"/>
            <w:left w:val="none" w:sz="0" w:space="0" w:color="auto"/>
            <w:bottom w:val="none" w:sz="0" w:space="0" w:color="auto"/>
            <w:right w:val="none" w:sz="0" w:space="0" w:color="auto"/>
          </w:divBdr>
        </w:div>
        <w:div w:id="809059203">
          <w:marLeft w:val="0"/>
          <w:marRight w:val="0"/>
          <w:marTop w:val="0"/>
          <w:marBottom w:val="0"/>
          <w:divBdr>
            <w:top w:val="none" w:sz="0" w:space="0" w:color="auto"/>
            <w:left w:val="none" w:sz="0" w:space="0" w:color="auto"/>
            <w:bottom w:val="none" w:sz="0" w:space="0" w:color="auto"/>
            <w:right w:val="none" w:sz="0" w:space="0" w:color="auto"/>
          </w:divBdr>
        </w:div>
      </w:divsChild>
    </w:div>
    <w:div w:id="348609660">
      <w:bodyDiv w:val="1"/>
      <w:marLeft w:val="0"/>
      <w:marRight w:val="0"/>
      <w:marTop w:val="0"/>
      <w:marBottom w:val="0"/>
      <w:divBdr>
        <w:top w:val="none" w:sz="0" w:space="0" w:color="auto"/>
        <w:left w:val="none" w:sz="0" w:space="0" w:color="auto"/>
        <w:bottom w:val="none" w:sz="0" w:space="0" w:color="auto"/>
        <w:right w:val="none" w:sz="0" w:space="0" w:color="auto"/>
      </w:divBdr>
      <w:divsChild>
        <w:div w:id="505175804">
          <w:marLeft w:val="0"/>
          <w:marRight w:val="0"/>
          <w:marTop w:val="0"/>
          <w:marBottom w:val="0"/>
          <w:divBdr>
            <w:top w:val="none" w:sz="0" w:space="0" w:color="auto"/>
            <w:left w:val="none" w:sz="0" w:space="0" w:color="auto"/>
            <w:bottom w:val="none" w:sz="0" w:space="0" w:color="auto"/>
            <w:right w:val="none" w:sz="0" w:space="0" w:color="auto"/>
          </w:divBdr>
        </w:div>
        <w:div w:id="1617173350">
          <w:marLeft w:val="0"/>
          <w:marRight w:val="0"/>
          <w:marTop w:val="0"/>
          <w:marBottom w:val="0"/>
          <w:divBdr>
            <w:top w:val="none" w:sz="0" w:space="0" w:color="auto"/>
            <w:left w:val="none" w:sz="0" w:space="0" w:color="auto"/>
            <w:bottom w:val="none" w:sz="0" w:space="0" w:color="auto"/>
            <w:right w:val="none" w:sz="0" w:space="0" w:color="auto"/>
          </w:divBdr>
        </w:div>
        <w:div w:id="2055808983">
          <w:marLeft w:val="0"/>
          <w:marRight w:val="0"/>
          <w:marTop w:val="0"/>
          <w:marBottom w:val="0"/>
          <w:divBdr>
            <w:top w:val="none" w:sz="0" w:space="0" w:color="auto"/>
            <w:left w:val="none" w:sz="0" w:space="0" w:color="auto"/>
            <w:bottom w:val="none" w:sz="0" w:space="0" w:color="auto"/>
            <w:right w:val="none" w:sz="0" w:space="0" w:color="auto"/>
          </w:divBdr>
        </w:div>
        <w:div w:id="1982693299">
          <w:marLeft w:val="0"/>
          <w:marRight w:val="0"/>
          <w:marTop w:val="0"/>
          <w:marBottom w:val="0"/>
          <w:divBdr>
            <w:top w:val="none" w:sz="0" w:space="0" w:color="auto"/>
            <w:left w:val="none" w:sz="0" w:space="0" w:color="auto"/>
            <w:bottom w:val="none" w:sz="0" w:space="0" w:color="auto"/>
            <w:right w:val="none" w:sz="0" w:space="0" w:color="auto"/>
          </w:divBdr>
        </w:div>
      </w:divsChild>
    </w:div>
    <w:div w:id="720178999">
      <w:bodyDiv w:val="1"/>
      <w:marLeft w:val="0"/>
      <w:marRight w:val="0"/>
      <w:marTop w:val="0"/>
      <w:marBottom w:val="0"/>
      <w:divBdr>
        <w:top w:val="none" w:sz="0" w:space="0" w:color="auto"/>
        <w:left w:val="none" w:sz="0" w:space="0" w:color="auto"/>
        <w:bottom w:val="none" w:sz="0" w:space="0" w:color="auto"/>
        <w:right w:val="none" w:sz="0" w:space="0" w:color="auto"/>
      </w:divBdr>
      <w:divsChild>
        <w:div w:id="94175584">
          <w:marLeft w:val="0"/>
          <w:marRight w:val="0"/>
          <w:marTop w:val="0"/>
          <w:marBottom w:val="0"/>
          <w:divBdr>
            <w:top w:val="none" w:sz="0" w:space="0" w:color="auto"/>
            <w:left w:val="none" w:sz="0" w:space="0" w:color="auto"/>
            <w:bottom w:val="none" w:sz="0" w:space="0" w:color="auto"/>
            <w:right w:val="none" w:sz="0" w:space="0" w:color="auto"/>
          </w:divBdr>
        </w:div>
        <w:div w:id="1464276157">
          <w:marLeft w:val="0"/>
          <w:marRight w:val="0"/>
          <w:marTop w:val="0"/>
          <w:marBottom w:val="0"/>
          <w:divBdr>
            <w:top w:val="none" w:sz="0" w:space="0" w:color="auto"/>
            <w:left w:val="none" w:sz="0" w:space="0" w:color="auto"/>
            <w:bottom w:val="none" w:sz="0" w:space="0" w:color="auto"/>
            <w:right w:val="none" w:sz="0" w:space="0" w:color="auto"/>
          </w:divBdr>
        </w:div>
        <w:div w:id="567498806">
          <w:marLeft w:val="0"/>
          <w:marRight w:val="0"/>
          <w:marTop w:val="0"/>
          <w:marBottom w:val="0"/>
          <w:divBdr>
            <w:top w:val="none" w:sz="0" w:space="0" w:color="auto"/>
            <w:left w:val="none" w:sz="0" w:space="0" w:color="auto"/>
            <w:bottom w:val="none" w:sz="0" w:space="0" w:color="auto"/>
            <w:right w:val="none" w:sz="0" w:space="0" w:color="auto"/>
          </w:divBdr>
        </w:div>
      </w:divsChild>
    </w:div>
    <w:div w:id="791940482">
      <w:bodyDiv w:val="1"/>
      <w:marLeft w:val="0"/>
      <w:marRight w:val="0"/>
      <w:marTop w:val="0"/>
      <w:marBottom w:val="0"/>
      <w:divBdr>
        <w:top w:val="none" w:sz="0" w:space="0" w:color="auto"/>
        <w:left w:val="none" w:sz="0" w:space="0" w:color="auto"/>
        <w:bottom w:val="none" w:sz="0" w:space="0" w:color="auto"/>
        <w:right w:val="none" w:sz="0" w:space="0" w:color="auto"/>
      </w:divBdr>
      <w:divsChild>
        <w:div w:id="1246110149">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615094273">
          <w:marLeft w:val="0"/>
          <w:marRight w:val="0"/>
          <w:marTop w:val="0"/>
          <w:marBottom w:val="0"/>
          <w:divBdr>
            <w:top w:val="none" w:sz="0" w:space="0" w:color="auto"/>
            <w:left w:val="none" w:sz="0" w:space="0" w:color="auto"/>
            <w:bottom w:val="none" w:sz="0" w:space="0" w:color="auto"/>
            <w:right w:val="none" w:sz="0" w:space="0" w:color="auto"/>
          </w:divBdr>
        </w:div>
        <w:div w:id="1665664968">
          <w:marLeft w:val="0"/>
          <w:marRight w:val="0"/>
          <w:marTop w:val="0"/>
          <w:marBottom w:val="0"/>
          <w:divBdr>
            <w:top w:val="none" w:sz="0" w:space="0" w:color="auto"/>
            <w:left w:val="none" w:sz="0" w:space="0" w:color="auto"/>
            <w:bottom w:val="none" w:sz="0" w:space="0" w:color="auto"/>
            <w:right w:val="none" w:sz="0" w:space="0" w:color="auto"/>
          </w:divBdr>
        </w:div>
        <w:div w:id="272447220">
          <w:marLeft w:val="0"/>
          <w:marRight w:val="0"/>
          <w:marTop w:val="0"/>
          <w:marBottom w:val="0"/>
          <w:divBdr>
            <w:top w:val="none" w:sz="0" w:space="0" w:color="auto"/>
            <w:left w:val="none" w:sz="0" w:space="0" w:color="auto"/>
            <w:bottom w:val="none" w:sz="0" w:space="0" w:color="auto"/>
            <w:right w:val="none" w:sz="0" w:space="0" w:color="auto"/>
          </w:divBdr>
        </w:div>
        <w:div w:id="1098908057">
          <w:marLeft w:val="0"/>
          <w:marRight w:val="0"/>
          <w:marTop w:val="0"/>
          <w:marBottom w:val="0"/>
          <w:divBdr>
            <w:top w:val="none" w:sz="0" w:space="0" w:color="auto"/>
            <w:left w:val="none" w:sz="0" w:space="0" w:color="auto"/>
            <w:bottom w:val="none" w:sz="0" w:space="0" w:color="auto"/>
            <w:right w:val="none" w:sz="0" w:space="0" w:color="auto"/>
          </w:divBdr>
        </w:div>
        <w:div w:id="1340280309">
          <w:marLeft w:val="0"/>
          <w:marRight w:val="0"/>
          <w:marTop w:val="0"/>
          <w:marBottom w:val="0"/>
          <w:divBdr>
            <w:top w:val="none" w:sz="0" w:space="0" w:color="auto"/>
            <w:left w:val="none" w:sz="0" w:space="0" w:color="auto"/>
            <w:bottom w:val="none" w:sz="0" w:space="0" w:color="auto"/>
            <w:right w:val="none" w:sz="0" w:space="0" w:color="auto"/>
          </w:divBdr>
        </w:div>
        <w:div w:id="140081255">
          <w:marLeft w:val="0"/>
          <w:marRight w:val="0"/>
          <w:marTop w:val="0"/>
          <w:marBottom w:val="0"/>
          <w:divBdr>
            <w:top w:val="none" w:sz="0" w:space="0" w:color="auto"/>
            <w:left w:val="none" w:sz="0" w:space="0" w:color="auto"/>
            <w:bottom w:val="none" w:sz="0" w:space="0" w:color="auto"/>
            <w:right w:val="none" w:sz="0" w:space="0" w:color="auto"/>
          </w:divBdr>
        </w:div>
      </w:divsChild>
    </w:div>
    <w:div w:id="1549411083">
      <w:bodyDiv w:val="1"/>
      <w:marLeft w:val="0"/>
      <w:marRight w:val="0"/>
      <w:marTop w:val="0"/>
      <w:marBottom w:val="0"/>
      <w:divBdr>
        <w:top w:val="none" w:sz="0" w:space="0" w:color="auto"/>
        <w:left w:val="none" w:sz="0" w:space="0" w:color="auto"/>
        <w:bottom w:val="none" w:sz="0" w:space="0" w:color="auto"/>
        <w:right w:val="none" w:sz="0" w:space="0" w:color="auto"/>
      </w:divBdr>
      <w:divsChild>
        <w:div w:id="1503013670">
          <w:marLeft w:val="0"/>
          <w:marRight w:val="0"/>
          <w:marTop w:val="0"/>
          <w:marBottom w:val="0"/>
          <w:divBdr>
            <w:top w:val="none" w:sz="0" w:space="0" w:color="auto"/>
            <w:left w:val="none" w:sz="0" w:space="0" w:color="auto"/>
            <w:bottom w:val="none" w:sz="0" w:space="0" w:color="auto"/>
            <w:right w:val="none" w:sz="0" w:space="0" w:color="auto"/>
          </w:divBdr>
        </w:div>
        <w:div w:id="1882470820">
          <w:marLeft w:val="0"/>
          <w:marRight w:val="0"/>
          <w:marTop w:val="0"/>
          <w:marBottom w:val="0"/>
          <w:divBdr>
            <w:top w:val="none" w:sz="0" w:space="0" w:color="auto"/>
            <w:left w:val="none" w:sz="0" w:space="0" w:color="auto"/>
            <w:bottom w:val="none" w:sz="0" w:space="0" w:color="auto"/>
            <w:right w:val="none" w:sz="0" w:space="0" w:color="auto"/>
          </w:divBdr>
        </w:div>
        <w:div w:id="1895969711">
          <w:marLeft w:val="0"/>
          <w:marRight w:val="0"/>
          <w:marTop w:val="0"/>
          <w:marBottom w:val="0"/>
          <w:divBdr>
            <w:top w:val="none" w:sz="0" w:space="0" w:color="auto"/>
            <w:left w:val="none" w:sz="0" w:space="0" w:color="auto"/>
            <w:bottom w:val="none" w:sz="0" w:space="0" w:color="auto"/>
            <w:right w:val="none" w:sz="0" w:space="0" w:color="auto"/>
          </w:divBdr>
        </w:div>
        <w:div w:id="1697195498">
          <w:marLeft w:val="0"/>
          <w:marRight w:val="0"/>
          <w:marTop w:val="0"/>
          <w:marBottom w:val="0"/>
          <w:divBdr>
            <w:top w:val="none" w:sz="0" w:space="0" w:color="auto"/>
            <w:left w:val="none" w:sz="0" w:space="0" w:color="auto"/>
            <w:bottom w:val="none" w:sz="0" w:space="0" w:color="auto"/>
            <w:right w:val="none" w:sz="0" w:space="0" w:color="auto"/>
          </w:divBdr>
        </w:div>
        <w:div w:id="623391180">
          <w:marLeft w:val="0"/>
          <w:marRight w:val="0"/>
          <w:marTop w:val="0"/>
          <w:marBottom w:val="0"/>
          <w:divBdr>
            <w:top w:val="none" w:sz="0" w:space="0" w:color="auto"/>
            <w:left w:val="none" w:sz="0" w:space="0" w:color="auto"/>
            <w:bottom w:val="none" w:sz="0" w:space="0" w:color="auto"/>
            <w:right w:val="none" w:sz="0" w:space="0" w:color="auto"/>
          </w:divBdr>
        </w:div>
        <w:div w:id="555554520">
          <w:marLeft w:val="0"/>
          <w:marRight w:val="0"/>
          <w:marTop w:val="0"/>
          <w:marBottom w:val="0"/>
          <w:divBdr>
            <w:top w:val="none" w:sz="0" w:space="0" w:color="auto"/>
            <w:left w:val="none" w:sz="0" w:space="0" w:color="auto"/>
            <w:bottom w:val="none" w:sz="0" w:space="0" w:color="auto"/>
            <w:right w:val="none" w:sz="0" w:space="0" w:color="auto"/>
          </w:divBdr>
        </w:div>
        <w:div w:id="1403868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Perisho, Karen</dc:creator>
  <cp:keywords/>
  <dc:description/>
  <cp:lastModifiedBy>Maloney, Jacqueline</cp:lastModifiedBy>
  <cp:revision>2</cp:revision>
  <dcterms:created xsi:type="dcterms:W3CDTF">2020-10-26T21:45:00Z</dcterms:created>
  <dcterms:modified xsi:type="dcterms:W3CDTF">2020-10-26T21:45:00Z</dcterms:modified>
</cp:coreProperties>
</file>